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FB4" w:rsidRPr="004F1F67" w:rsidRDefault="00D81FB4" w:rsidP="00D81FB4">
      <w:pPr>
        <w:jc w:val="center"/>
      </w:pPr>
    </w:p>
    <w:p w:rsidR="00D81FB4" w:rsidRPr="004F1F67" w:rsidRDefault="00D81FB4" w:rsidP="00D81FB4">
      <w:pPr>
        <w:jc w:val="center"/>
      </w:pPr>
    </w:p>
    <w:p w:rsidR="00D81FB4" w:rsidRPr="004F1F67" w:rsidRDefault="00D81FB4" w:rsidP="00D81FB4">
      <w:pPr>
        <w:jc w:val="center"/>
      </w:pPr>
    </w:p>
    <w:p w:rsidR="00D81FB4" w:rsidRPr="004F1F67" w:rsidRDefault="00D81FB4" w:rsidP="00D81FB4">
      <w:pPr>
        <w:jc w:val="center"/>
      </w:pPr>
    </w:p>
    <w:p w:rsidR="00D81FB4" w:rsidRPr="004F1F67" w:rsidRDefault="00D81FB4" w:rsidP="00D81FB4">
      <w:pPr>
        <w:jc w:val="center"/>
      </w:pPr>
    </w:p>
    <w:p w:rsidR="00D81FB4" w:rsidRPr="004F1F67" w:rsidRDefault="00D81FB4" w:rsidP="00D81FB4">
      <w:pPr>
        <w:jc w:val="center"/>
      </w:pPr>
    </w:p>
    <w:p w:rsidR="00D81FB4" w:rsidRPr="004F1F67" w:rsidRDefault="00D81FB4" w:rsidP="00D81FB4">
      <w:pPr>
        <w:jc w:val="center"/>
      </w:pPr>
    </w:p>
    <w:p w:rsidR="00D81FB4" w:rsidRPr="004F1F67" w:rsidRDefault="00D81FB4" w:rsidP="00D81FB4">
      <w:pPr>
        <w:jc w:val="center"/>
      </w:pPr>
    </w:p>
    <w:p w:rsidR="00D81FB4" w:rsidRPr="004F1F67" w:rsidRDefault="001777AF" w:rsidP="00D81FB4">
      <w:pPr>
        <w:jc w:val="center"/>
      </w:pPr>
      <w:r w:rsidRPr="004F1F67">
        <w:t xml:space="preserve">Patient </w:t>
      </w:r>
      <w:r w:rsidR="00D81FB4" w:rsidRPr="004F1F67">
        <w:t>Engagement in Healthcare</w:t>
      </w:r>
    </w:p>
    <w:p w:rsidR="00D81FB4" w:rsidRPr="004F1F67" w:rsidRDefault="00D81FB4" w:rsidP="00D81FB4">
      <w:pPr>
        <w:jc w:val="center"/>
      </w:pPr>
      <w:r w:rsidRPr="004F1F67">
        <w:t>Name</w:t>
      </w:r>
    </w:p>
    <w:p w:rsidR="00D81FB4" w:rsidRPr="004F1F67" w:rsidRDefault="00D81FB4" w:rsidP="00D81FB4">
      <w:pPr>
        <w:jc w:val="center"/>
      </w:pPr>
      <w:r w:rsidRPr="004F1F67">
        <w:t>Institution</w:t>
      </w:r>
    </w:p>
    <w:p w:rsidR="00D81FB4" w:rsidRPr="004F1F67" w:rsidRDefault="00D81FB4" w:rsidP="00D81FB4">
      <w:pPr>
        <w:jc w:val="center"/>
      </w:pPr>
      <w:r w:rsidRPr="004F1F67">
        <w:t>Date</w:t>
      </w:r>
    </w:p>
    <w:p w:rsidR="00D81FB4" w:rsidRPr="004F1F67" w:rsidRDefault="00D81FB4" w:rsidP="00D81FB4">
      <w:pPr>
        <w:jc w:val="center"/>
      </w:pPr>
    </w:p>
    <w:p w:rsidR="00D81FB4" w:rsidRPr="004F1F67" w:rsidRDefault="00D81FB4" w:rsidP="008F0D6E">
      <w:pPr>
        <w:jc w:val="center"/>
      </w:pPr>
      <w:r w:rsidRPr="004F1F67">
        <w:br w:type="page"/>
      </w:r>
      <w:r w:rsidRPr="004F1F67">
        <w:lastRenderedPageBreak/>
        <w:t>Patient Engagement in Healthcare</w:t>
      </w:r>
    </w:p>
    <w:p w:rsidR="007A6BE4" w:rsidRPr="004F1F67" w:rsidRDefault="007A6BE4" w:rsidP="008F0D6E">
      <w:pPr>
        <w:jc w:val="center"/>
        <w:rPr>
          <w:b/>
        </w:rPr>
      </w:pPr>
      <w:r w:rsidRPr="004F1F67">
        <w:rPr>
          <w:b/>
        </w:rPr>
        <w:t>Question 1</w:t>
      </w:r>
    </w:p>
    <w:p w:rsidR="008F0D6E" w:rsidRPr="004F1F67" w:rsidRDefault="008F0D6E" w:rsidP="008F0D6E">
      <w:pPr>
        <w:ind w:firstLine="720"/>
      </w:pPr>
      <w:r w:rsidRPr="004F1F67">
        <w:t xml:space="preserve">Upon the administration of care, patients are always focussed on achieving universal, timely, and adequate care. As such, they are interested in being part and parcel of the care and treatment plan to access good health. According to Domecq et al. (2014), one driving force for patients wanting to be more engaged with their health is the need to access personalized medical treatments and interventions. The concept of patient-centered care is vital since it extends to different therapies and medications hence benefiting patients. Customized care encourages many patients to be interested to engage themselves with their health since it provides care through focusing on their immune systems, metabolism, biomarkers, and genetics. On the same note, patients can enjoy timely diagnostics that allows physicians to predict care outcomes for each patient. </w:t>
      </w:r>
    </w:p>
    <w:p w:rsidR="008F0D6E" w:rsidRPr="004F1F67" w:rsidRDefault="008F0D6E" w:rsidP="008F0D6E">
      <w:pPr>
        <w:ind w:firstLine="720"/>
      </w:pPr>
      <w:r w:rsidRPr="004F1F67">
        <w:t xml:space="preserve">One reason why many patients are not becoming engaged with their health is lack of knowledge and resources. Many patients are unable to access websites and platforms that might enable them to learn more regarding their health and immune systems (Domecq et al., 2014). Health websites and platforms are vital since they allow patients to have better insights on aspects such as hygiene and dietary supplements that may improve their health. Inadequate resources pose challenges to patients who are willing to become engaged with their health. Undisclosed conditions or failure to know what patients are ailing from is also a factor </w:t>
      </w:r>
      <w:r w:rsidRPr="004F1F67">
        <w:t xml:space="preserve">that </w:t>
      </w:r>
      <w:r w:rsidRPr="004F1F67">
        <w:t xml:space="preserve">inhibits patients to be involved with their health. It is challenging for such patients to engage </w:t>
      </w:r>
      <w:r w:rsidRPr="004F1F67">
        <w:t>and interact with caregivers in the process of care delivery</w:t>
      </w:r>
      <w:r w:rsidRPr="004F1F67">
        <w:t xml:space="preserve">, and as such, they are </w:t>
      </w:r>
      <w:r w:rsidRPr="004F1F67">
        <w:t>unable</w:t>
      </w:r>
      <w:r w:rsidRPr="004F1F67">
        <w:t xml:space="preserve"> to engage with their health. </w:t>
      </w:r>
    </w:p>
    <w:p w:rsidR="008F0D6E" w:rsidRPr="004F1F67" w:rsidRDefault="008F0D6E" w:rsidP="008F0D6E"/>
    <w:p w:rsidR="008F0D6E" w:rsidRPr="004F1F67" w:rsidRDefault="008F0D6E" w:rsidP="008F0D6E">
      <w:pPr>
        <w:jc w:val="center"/>
        <w:rPr>
          <w:b/>
        </w:rPr>
      </w:pPr>
      <w:r w:rsidRPr="004F1F67">
        <w:rPr>
          <w:b/>
        </w:rPr>
        <w:lastRenderedPageBreak/>
        <w:t>Question 2</w:t>
      </w:r>
    </w:p>
    <w:p w:rsidR="008F0D6E" w:rsidRPr="004F1F67" w:rsidRDefault="008F0D6E" w:rsidP="008F0D6E">
      <w:pPr>
        <w:ind w:firstLine="720"/>
      </w:pPr>
      <w:r w:rsidRPr="004F1F67">
        <w:t>It is a perennial challenge to engage low-income, rural, and senior populations with patient engagement. One way to do this is through engaging feedback. Hospitals should provide information to patients regarding their health outcomes and also channels for patients to write issues, comments, and suggestions. Channels such as emails and phones will allow patients and hospital officials to engage in communication, which will enable and encourage timely feedback (Barello, Graffigna &amp; Vegni, 2012). Therefore, patients will be motivated to engage with their health, especially in rural areas. Another way that patients from low-income, rural, and senior populations can be involved with their health is through encouraging them to ask more questions. Patients should be encouraged to ask questions regarding their health to caregivers at any given time since the majority are afraid that their health information will be disclosed.</w:t>
      </w:r>
    </w:p>
    <w:p w:rsidR="008F0D6E" w:rsidRPr="004F1F67" w:rsidRDefault="008F0D6E" w:rsidP="008F0D6E">
      <w:r w:rsidRPr="004F1F67">
        <w:t xml:space="preserve"> </w:t>
      </w:r>
      <w:r w:rsidRPr="004F1F67">
        <w:tab/>
      </w:r>
      <w:r w:rsidRPr="004F1F67">
        <w:t>For that reason, healthcare givers can promote patient engagement by ensuring that patients easily relate</w:t>
      </w:r>
      <w:r w:rsidRPr="004F1F67">
        <w:t xml:space="preserve"> and learn through physicians via asking</w:t>
      </w:r>
      <w:r w:rsidRPr="004F1F67">
        <w:t xml:space="preserve"> questions. Patients from senior populations and low-income can be educated with the use of written and verbal communication (Barello et al., 2012). Education is a crucial strategy in the nursing practice that aims at enabling patients to understand how their bodies work and what can be done to improve health outcomes when they are outside the clinical setting. Educating patients on multiple modalities and health incomes will encourage them to engage their health with their physicians during the delivery of care. Thus, it is fundamental to initiate more strategies that can allow patient engagement as they seek healthcare.  </w:t>
      </w:r>
    </w:p>
    <w:p w:rsidR="004F1F67" w:rsidRPr="004F1F67" w:rsidRDefault="004F1F67" w:rsidP="008F0D6E"/>
    <w:p w:rsidR="004F1F67" w:rsidRPr="004F1F67" w:rsidRDefault="004F1F67" w:rsidP="008F0D6E"/>
    <w:p w:rsidR="008F0D6E" w:rsidRPr="004F1F67" w:rsidRDefault="008F0D6E" w:rsidP="004F1F67">
      <w:pPr>
        <w:jc w:val="center"/>
        <w:rPr>
          <w:b/>
        </w:rPr>
      </w:pPr>
      <w:r w:rsidRPr="004F1F67">
        <w:rPr>
          <w:b/>
        </w:rPr>
        <w:lastRenderedPageBreak/>
        <w:t>Question 3</w:t>
      </w:r>
    </w:p>
    <w:p w:rsidR="008F0D6E" w:rsidRPr="004F1F67" w:rsidRDefault="008F0D6E" w:rsidP="004F1F67">
      <w:pPr>
        <w:ind w:firstLine="720"/>
      </w:pPr>
      <w:r w:rsidRPr="004F1F67">
        <w:t xml:space="preserve">I think that patient engagement is achievable in the clinical setting. The healthcare sector has accommodated the need to incorporate strategies that will encourage patient engagement as a way of improving performance upon the administration of justice. For patient engagement to be successful, there has to be cooperation between patients and healthcare providers to improve health outcomes (Toussaint &amp; Berry, 2013). One challenge that I see in health care today to achieve patient engagement is poor relationships between caregivers and patients from different populations. There still exists a poor correlation between patients and caregivers during the process of care, and as such, the delivery of care is greatly affected since physicians are unable to diagnose care on time. </w:t>
      </w:r>
    </w:p>
    <w:p w:rsidR="008F0D6E" w:rsidRPr="004F1F67" w:rsidRDefault="008F0D6E" w:rsidP="004F1F67">
      <w:pPr>
        <w:ind w:firstLine="720"/>
      </w:pPr>
      <w:r w:rsidRPr="004F1F67">
        <w:t>Also, poor cooperation and coordination between nurses and patients are likely to affect the achievement of patient engagement. Poor coordination may be evident during the organization of follow up of treatment plans and interventions after care is provided. Besides, one challenge that I see in achieving the goal of patient engagement is poor technology. The role of technology in healthcare cannot be ignored since it acts as a bridge between patients and healthcare providers</w:t>
      </w:r>
      <w:r w:rsidR="004F1F67" w:rsidRPr="004F1F67">
        <w:t xml:space="preserve"> in care giving</w:t>
      </w:r>
      <w:r w:rsidRPr="004F1F67">
        <w:t xml:space="preserve"> (Toussaint &amp; Berry, 2013). It also ensures that patients benefit from timely feedback in case they make comments or ask questions regarding treatments plans and their health. Nevertheless, poor technology can significantly affect patient engagement since it may be challenging to reach out to patients who are in rural or marginalized areas. Therefore, it is vital to incorporate advanced technology to allow the timely provision of care as well as patient engagement.</w:t>
      </w:r>
    </w:p>
    <w:p w:rsidR="004F1F67" w:rsidRDefault="004F1F67"/>
    <w:p w:rsidR="004F1F67" w:rsidRDefault="004F1F67"/>
    <w:p w:rsidR="0063779F" w:rsidRPr="004F1F67" w:rsidRDefault="0063779F" w:rsidP="004F1F67">
      <w:pPr>
        <w:jc w:val="center"/>
      </w:pPr>
      <w:r w:rsidRPr="004F1F67">
        <w:lastRenderedPageBreak/>
        <w:t>References</w:t>
      </w:r>
    </w:p>
    <w:p w:rsidR="004F1F67" w:rsidRPr="004F1F67" w:rsidRDefault="004F1F67" w:rsidP="004F1F67">
      <w:pPr>
        <w:ind w:left="720" w:hanging="720"/>
      </w:pPr>
      <w:r w:rsidRPr="004F1F67">
        <w:rPr>
          <w:color w:val="222222"/>
          <w:shd w:val="clear" w:color="auto" w:fill="FFFFFF"/>
        </w:rPr>
        <w:t>Barello, S., Graffigna, G., &amp; Vegni, E. (2012). Patient engagement as an emerging challenge for healthcare services: mapping the literature. </w:t>
      </w:r>
      <w:r w:rsidRPr="004F1F67">
        <w:rPr>
          <w:i/>
          <w:iCs/>
          <w:color w:val="222222"/>
          <w:shd w:val="clear" w:color="auto" w:fill="FFFFFF"/>
        </w:rPr>
        <w:t>Nursing research and practice</w:t>
      </w:r>
      <w:r w:rsidRPr="004F1F67">
        <w:rPr>
          <w:color w:val="222222"/>
          <w:shd w:val="clear" w:color="auto" w:fill="FFFFFF"/>
        </w:rPr>
        <w:t>, </w:t>
      </w:r>
      <w:r w:rsidRPr="004F1F67">
        <w:rPr>
          <w:i/>
          <w:iCs/>
          <w:color w:val="222222"/>
          <w:shd w:val="clear" w:color="auto" w:fill="FFFFFF"/>
        </w:rPr>
        <w:t>2012</w:t>
      </w:r>
      <w:r w:rsidRPr="004F1F67">
        <w:rPr>
          <w:color w:val="222222"/>
          <w:shd w:val="clear" w:color="auto" w:fill="FFFFFF"/>
        </w:rPr>
        <w:t>.</w:t>
      </w:r>
    </w:p>
    <w:p w:rsidR="004F1F67" w:rsidRPr="004F1F67" w:rsidRDefault="004F1F67" w:rsidP="004F1F67">
      <w:pPr>
        <w:ind w:left="720" w:hanging="720"/>
        <w:rPr>
          <w:color w:val="222222"/>
          <w:shd w:val="clear" w:color="auto" w:fill="FFFFFF"/>
        </w:rPr>
      </w:pPr>
      <w:r w:rsidRPr="004F1F67">
        <w:rPr>
          <w:color w:val="222222"/>
          <w:shd w:val="clear" w:color="auto" w:fill="FFFFFF"/>
        </w:rPr>
        <w:t xml:space="preserve">Domecq, J. P., </w:t>
      </w:r>
      <w:proofErr w:type="spellStart"/>
      <w:r w:rsidRPr="004F1F67">
        <w:rPr>
          <w:color w:val="222222"/>
          <w:shd w:val="clear" w:color="auto" w:fill="FFFFFF"/>
        </w:rPr>
        <w:t>Prutsky</w:t>
      </w:r>
      <w:proofErr w:type="spellEnd"/>
      <w:r w:rsidRPr="004F1F67">
        <w:rPr>
          <w:color w:val="222222"/>
          <w:shd w:val="clear" w:color="auto" w:fill="FFFFFF"/>
        </w:rPr>
        <w:t xml:space="preserve">, G., </w:t>
      </w:r>
      <w:proofErr w:type="spellStart"/>
      <w:r w:rsidRPr="004F1F67">
        <w:rPr>
          <w:color w:val="222222"/>
          <w:shd w:val="clear" w:color="auto" w:fill="FFFFFF"/>
        </w:rPr>
        <w:t>Elraiyah</w:t>
      </w:r>
      <w:proofErr w:type="spellEnd"/>
      <w:r w:rsidRPr="004F1F67">
        <w:rPr>
          <w:color w:val="222222"/>
          <w:shd w:val="clear" w:color="auto" w:fill="FFFFFF"/>
        </w:rPr>
        <w:t xml:space="preserve">, T., Wang, Z., </w:t>
      </w:r>
      <w:proofErr w:type="spellStart"/>
      <w:r w:rsidRPr="004F1F67">
        <w:rPr>
          <w:color w:val="222222"/>
          <w:shd w:val="clear" w:color="auto" w:fill="FFFFFF"/>
        </w:rPr>
        <w:t>Nabhan</w:t>
      </w:r>
      <w:proofErr w:type="spellEnd"/>
      <w:r w:rsidRPr="004F1F67">
        <w:rPr>
          <w:color w:val="222222"/>
          <w:shd w:val="clear" w:color="auto" w:fill="FFFFFF"/>
        </w:rPr>
        <w:t xml:space="preserve">, M., </w:t>
      </w:r>
      <w:proofErr w:type="spellStart"/>
      <w:r w:rsidRPr="004F1F67">
        <w:rPr>
          <w:color w:val="222222"/>
          <w:shd w:val="clear" w:color="auto" w:fill="FFFFFF"/>
        </w:rPr>
        <w:t>Shippee</w:t>
      </w:r>
      <w:proofErr w:type="spellEnd"/>
      <w:r w:rsidRPr="004F1F67">
        <w:rPr>
          <w:color w:val="222222"/>
          <w:shd w:val="clear" w:color="auto" w:fill="FFFFFF"/>
        </w:rPr>
        <w:t>, N</w:t>
      </w:r>
      <w:proofErr w:type="gramStart"/>
      <w:r w:rsidRPr="004F1F67">
        <w:rPr>
          <w:color w:val="222222"/>
          <w:shd w:val="clear" w:color="auto" w:fill="FFFFFF"/>
        </w:rPr>
        <w:t>., ...</w:t>
      </w:r>
      <w:proofErr w:type="gramEnd"/>
      <w:r w:rsidRPr="004F1F67">
        <w:rPr>
          <w:color w:val="222222"/>
          <w:shd w:val="clear" w:color="auto" w:fill="FFFFFF"/>
        </w:rPr>
        <w:t xml:space="preserve"> &amp; Erwin, P. (2014). Patient engagement in research: a systematic review. </w:t>
      </w:r>
      <w:r w:rsidRPr="004F1F67">
        <w:rPr>
          <w:i/>
          <w:iCs/>
          <w:color w:val="222222"/>
          <w:shd w:val="clear" w:color="auto" w:fill="FFFFFF"/>
        </w:rPr>
        <w:t>BMC health services research</w:t>
      </w:r>
      <w:r w:rsidRPr="004F1F67">
        <w:rPr>
          <w:color w:val="222222"/>
          <w:shd w:val="clear" w:color="auto" w:fill="FFFFFF"/>
        </w:rPr>
        <w:t>, </w:t>
      </w:r>
      <w:r w:rsidRPr="004F1F67">
        <w:rPr>
          <w:i/>
          <w:iCs/>
          <w:color w:val="222222"/>
          <w:shd w:val="clear" w:color="auto" w:fill="FFFFFF"/>
        </w:rPr>
        <w:t>14</w:t>
      </w:r>
      <w:r w:rsidRPr="004F1F67">
        <w:rPr>
          <w:color w:val="222222"/>
          <w:shd w:val="clear" w:color="auto" w:fill="FFFFFF"/>
        </w:rPr>
        <w:t>(1), 89.</w:t>
      </w:r>
    </w:p>
    <w:p w:rsidR="004F1F67" w:rsidRPr="004F1F67" w:rsidRDefault="004F1F67" w:rsidP="004F1F67">
      <w:pPr>
        <w:ind w:left="720" w:hanging="720"/>
        <w:rPr>
          <w:color w:val="222222"/>
          <w:shd w:val="clear" w:color="auto" w:fill="FFFFFF"/>
        </w:rPr>
      </w:pPr>
      <w:r w:rsidRPr="004F1F67">
        <w:rPr>
          <w:color w:val="222222"/>
          <w:shd w:val="clear" w:color="auto" w:fill="FFFFFF"/>
        </w:rPr>
        <w:t>Toussaint, J. S., &amp; Berry, L. L. (2013, January). The promise of Lean in health care. In </w:t>
      </w:r>
      <w:r w:rsidRPr="004F1F67">
        <w:rPr>
          <w:i/>
          <w:iCs/>
          <w:color w:val="222222"/>
          <w:shd w:val="clear" w:color="auto" w:fill="FFFFFF"/>
        </w:rPr>
        <w:t>Mayo clinic proceedings</w:t>
      </w:r>
      <w:r w:rsidRPr="004F1F67">
        <w:rPr>
          <w:color w:val="222222"/>
          <w:shd w:val="clear" w:color="auto" w:fill="FFFFFF"/>
        </w:rPr>
        <w:t> (Vol. 88, No. 1, pp. 74-82). Elsevier.</w:t>
      </w:r>
      <w:bookmarkStart w:id="0" w:name="_GoBack"/>
      <w:bookmarkEnd w:id="0"/>
    </w:p>
    <w:sectPr w:rsidR="004F1F67" w:rsidRPr="004F1F67" w:rsidSect="00D81FB4">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9A4" w:rsidRDefault="00A279A4" w:rsidP="00D81FB4">
      <w:pPr>
        <w:spacing w:after="0" w:line="240" w:lineRule="auto"/>
      </w:pPr>
      <w:r>
        <w:separator/>
      </w:r>
    </w:p>
  </w:endnote>
  <w:endnote w:type="continuationSeparator" w:id="0">
    <w:p w:rsidR="00A279A4" w:rsidRDefault="00A279A4" w:rsidP="00D81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9A4" w:rsidRDefault="00A279A4" w:rsidP="00D81FB4">
      <w:pPr>
        <w:spacing w:after="0" w:line="240" w:lineRule="auto"/>
      </w:pPr>
      <w:r>
        <w:separator/>
      </w:r>
    </w:p>
  </w:footnote>
  <w:footnote w:type="continuationSeparator" w:id="0">
    <w:p w:rsidR="00A279A4" w:rsidRDefault="00A279A4" w:rsidP="00D81F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5649355"/>
      <w:docPartObj>
        <w:docPartGallery w:val="Page Numbers (Top of Page)"/>
        <w:docPartUnique/>
      </w:docPartObj>
    </w:sdtPr>
    <w:sdtEndPr>
      <w:rPr>
        <w:noProof/>
      </w:rPr>
    </w:sdtEndPr>
    <w:sdtContent>
      <w:p w:rsidR="00D81FB4" w:rsidRDefault="00D81FB4" w:rsidP="00D81FB4">
        <w:pPr>
          <w:pStyle w:val="Header"/>
          <w:spacing w:line="480" w:lineRule="auto"/>
        </w:pPr>
        <w:r w:rsidRPr="00D81FB4">
          <w:t>PATIENT ENGAGEMENT IN HEALTHCARE</w:t>
        </w:r>
        <w:r>
          <w:t xml:space="preserve">                                                                     </w:t>
        </w:r>
        <w:r>
          <w:fldChar w:fldCharType="begin"/>
        </w:r>
        <w:r>
          <w:instrText xml:space="preserve"> PAGE   \* MERGEFORMAT </w:instrText>
        </w:r>
        <w:r>
          <w:fldChar w:fldCharType="separate"/>
        </w:r>
        <w:r w:rsidR="004F1F67">
          <w:rPr>
            <w:noProof/>
          </w:rPr>
          <w:t>4</w:t>
        </w:r>
        <w:r>
          <w:rPr>
            <w:noProof/>
          </w:rPr>
          <w:fldChar w:fldCharType="end"/>
        </w:r>
      </w:p>
    </w:sdtContent>
  </w:sdt>
  <w:p w:rsidR="00D81FB4" w:rsidRDefault="00D81FB4" w:rsidP="00D81FB4">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FB4" w:rsidRDefault="00D81FB4" w:rsidP="00D81FB4">
    <w:pPr>
      <w:pStyle w:val="Header"/>
      <w:spacing w:line="480" w:lineRule="auto"/>
    </w:pPr>
    <w:r>
      <w:t xml:space="preserve">Running head: PATIENT ENGAGEMENT IN HEALTHCARE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42F"/>
    <w:rsid w:val="00107EC2"/>
    <w:rsid w:val="001777AF"/>
    <w:rsid w:val="003C59E2"/>
    <w:rsid w:val="004C26C0"/>
    <w:rsid w:val="004F1F67"/>
    <w:rsid w:val="0053559E"/>
    <w:rsid w:val="0060242F"/>
    <w:rsid w:val="0063779F"/>
    <w:rsid w:val="00672F09"/>
    <w:rsid w:val="007A6BE4"/>
    <w:rsid w:val="008652FD"/>
    <w:rsid w:val="008E419E"/>
    <w:rsid w:val="008F0D6E"/>
    <w:rsid w:val="009254F9"/>
    <w:rsid w:val="00975B36"/>
    <w:rsid w:val="009B6325"/>
    <w:rsid w:val="00A279A4"/>
    <w:rsid w:val="00AD0E90"/>
    <w:rsid w:val="00B04927"/>
    <w:rsid w:val="00B82880"/>
    <w:rsid w:val="00C115DD"/>
    <w:rsid w:val="00D260E3"/>
    <w:rsid w:val="00D81FB4"/>
    <w:rsid w:val="00D96AE7"/>
    <w:rsid w:val="00E773FF"/>
    <w:rsid w:val="00EE2037"/>
    <w:rsid w:val="00F42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4E852-EF00-4011-9495-1A250EFFD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paragraph" w:styleId="Heading2">
    <w:name w:val="heading 2"/>
    <w:basedOn w:val="Normal"/>
    <w:next w:val="Normal"/>
    <w:link w:val="Heading2Char"/>
    <w:uiPriority w:val="9"/>
    <w:unhideWhenUsed/>
    <w:qFormat/>
    <w:rsid w:val="00975B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75B36"/>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D81F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1FB4"/>
  </w:style>
  <w:style w:type="paragraph" w:styleId="Footer">
    <w:name w:val="footer"/>
    <w:basedOn w:val="Normal"/>
    <w:link w:val="FooterChar"/>
    <w:uiPriority w:val="99"/>
    <w:unhideWhenUsed/>
    <w:rsid w:val="00D81F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1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5</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9</cp:revision>
  <dcterms:created xsi:type="dcterms:W3CDTF">2019-05-24T08:18:00Z</dcterms:created>
  <dcterms:modified xsi:type="dcterms:W3CDTF">2019-05-24T11:22:00Z</dcterms:modified>
</cp:coreProperties>
</file>